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E23" w:rsidRDefault="00B63CED">
      <w:pPr>
        <w:spacing w:after="0"/>
        <w:jc w:val="right"/>
        <w:rPr>
          <w:b/>
          <w:i/>
        </w:rPr>
      </w:pPr>
      <w:r>
        <w:rPr>
          <w:b/>
          <w:i/>
        </w:rPr>
        <w:t>Wzór</w:t>
      </w:r>
    </w:p>
    <w:p w:rsidR="007B3E23" w:rsidRDefault="00B63CED">
      <w:pPr>
        <w:spacing w:after="0"/>
        <w:jc w:val="center"/>
        <w:rPr>
          <w:b/>
        </w:rPr>
      </w:pPr>
      <w:r>
        <w:rPr>
          <w:b/>
        </w:rPr>
        <w:t>OŚWIADCZENIE</w:t>
      </w:r>
    </w:p>
    <w:p w:rsidR="007B3E23" w:rsidRDefault="00B63CED">
      <w:pPr>
        <w:jc w:val="center"/>
      </w:pPr>
      <w:r>
        <w:rPr>
          <w:b/>
        </w:rPr>
        <w:t xml:space="preserve">PODMIOTU OBOWIĄZANEGO DO PONOSZENIA OPŁATY ZA USŁUGI WODNE Z TYTUŁU ZMNIEJSZENIA NATURALNEJ RETENCJI TERENOWEJ </w:t>
      </w:r>
      <w:r>
        <w:rPr>
          <w:b/>
          <w:vertAlign w:val="superscript"/>
        </w:rPr>
        <w:t>1)</w:t>
      </w:r>
    </w:p>
    <w:p w:rsidR="007B3E23" w:rsidRDefault="00B63CED">
      <w:pPr>
        <w:pStyle w:val="Akapitzlist"/>
        <w:numPr>
          <w:ilvl w:val="0"/>
          <w:numId w:val="1"/>
        </w:numPr>
        <w:jc w:val="both"/>
      </w:pPr>
      <w:r>
        <w:t>Oznaczenie podmiotu składającego oświadczenie</w:t>
      </w:r>
    </w:p>
    <w:p w:rsidR="007B3E23" w:rsidRDefault="007B3E23">
      <w:pPr>
        <w:pStyle w:val="Akapitzlist"/>
        <w:jc w:val="both"/>
      </w:pPr>
    </w:p>
    <w:p w:rsidR="007B3E23" w:rsidRDefault="00B63CED">
      <w:pPr>
        <w:pStyle w:val="Akapitzlist"/>
        <w:numPr>
          <w:ilvl w:val="0"/>
          <w:numId w:val="2"/>
        </w:numPr>
      </w:pPr>
      <w:r>
        <w:t xml:space="preserve">Nazwa/imię i nazwisko: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3E23" w:rsidRDefault="00B63CED">
      <w:pPr>
        <w:pStyle w:val="Akapitzlist"/>
        <w:numPr>
          <w:ilvl w:val="0"/>
          <w:numId w:val="2"/>
        </w:numPr>
        <w:jc w:val="both"/>
      </w:pPr>
      <w:r>
        <w:t>REGON:</w:t>
      </w:r>
    </w:p>
    <w:p w:rsidR="007B3E23" w:rsidRDefault="00B63CED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7B3E23" w:rsidRDefault="00B63CED">
      <w:pPr>
        <w:pStyle w:val="Akapitzlist"/>
        <w:numPr>
          <w:ilvl w:val="0"/>
          <w:numId w:val="2"/>
        </w:numPr>
      </w:pPr>
      <w:r>
        <w:t>Adres siedziby/adres zamieszkania: 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</w:t>
      </w:r>
    </w:p>
    <w:p w:rsidR="007B3E23" w:rsidRDefault="00B63CED">
      <w:pPr>
        <w:pStyle w:val="Akapitzlist"/>
        <w:numPr>
          <w:ilvl w:val="0"/>
          <w:numId w:val="2"/>
        </w:numPr>
        <w:jc w:val="both"/>
      </w:pPr>
      <w:r>
        <w:t>Numer telefonu:</w:t>
      </w:r>
    </w:p>
    <w:p w:rsidR="007B3E23" w:rsidRDefault="00B63CED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7B3E23" w:rsidRDefault="00B63CED">
      <w:pPr>
        <w:pStyle w:val="Akapitzlist"/>
        <w:numPr>
          <w:ilvl w:val="0"/>
          <w:numId w:val="2"/>
        </w:numPr>
        <w:jc w:val="both"/>
      </w:pPr>
      <w:r>
        <w:t>Adres e-mail:</w:t>
      </w:r>
    </w:p>
    <w:p w:rsidR="007B3E23" w:rsidRDefault="00B63CED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7B3E23" w:rsidRDefault="007B3E23">
      <w:pPr>
        <w:pStyle w:val="Akapitzlist"/>
        <w:ind w:left="1080"/>
        <w:jc w:val="both"/>
      </w:pPr>
    </w:p>
    <w:p w:rsidR="007B3E23" w:rsidRDefault="00B63CED">
      <w:pPr>
        <w:pStyle w:val="Akapitzlist"/>
        <w:numPr>
          <w:ilvl w:val="0"/>
          <w:numId w:val="1"/>
        </w:numPr>
        <w:jc w:val="both"/>
      </w:pPr>
      <w:r>
        <w:t>Określenie kwartału, za który składane jest oświadczenie …………………………</w:t>
      </w:r>
      <w:r>
        <w:t>………………………….</w:t>
      </w:r>
    </w:p>
    <w:p w:rsidR="007B3E23" w:rsidRDefault="00B63CED">
      <w:pPr>
        <w:pStyle w:val="Akapitzlist"/>
        <w:numPr>
          <w:ilvl w:val="0"/>
          <w:numId w:val="1"/>
        </w:numPr>
        <w:spacing w:after="0"/>
        <w:jc w:val="both"/>
      </w:pPr>
      <w:r>
        <w:t>Dane dotyczące pozwolenia wodnoprawnego</w:t>
      </w:r>
      <w:r>
        <w:rPr>
          <w:vertAlign w:val="superscript"/>
        </w:rPr>
        <w:t>2)</w:t>
      </w:r>
      <w:r>
        <w:t xml:space="preserve"> </w:t>
      </w:r>
    </w:p>
    <w:p w:rsidR="007B3E23" w:rsidRDefault="007B3E23">
      <w:pPr>
        <w:spacing w:after="0"/>
        <w:jc w:val="both"/>
      </w:pPr>
    </w:p>
    <w:p w:rsidR="007B3E23" w:rsidRDefault="00B63CED">
      <w:pPr>
        <w:pStyle w:val="Akapitzlist"/>
        <w:numPr>
          <w:ilvl w:val="0"/>
          <w:numId w:val="4"/>
        </w:numPr>
        <w:spacing w:after="0"/>
        <w:jc w:val="both"/>
      </w:pPr>
      <w:r>
        <w:t>Oznaczenie organu właściwego do wydania pozwolenia wodnoprawnego:</w:t>
      </w:r>
    </w:p>
    <w:p w:rsidR="007B3E23" w:rsidRDefault="00B63CED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</w:t>
      </w:r>
    </w:p>
    <w:p w:rsidR="007B3E23" w:rsidRDefault="00B63CED">
      <w:pPr>
        <w:pStyle w:val="Akapitzlist"/>
        <w:numPr>
          <w:ilvl w:val="0"/>
          <w:numId w:val="4"/>
        </w:numPr>
        <w:jc w:val="both"/>
      </w:pPr>
      <w:r>
        <w:t>Znak decyzji:</w:t>
      </w:r>
    </w:p>
    <w:p w:rsidR="007B3E23" w:rsidRDefault="00B63CED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7B3E23" w:rsidRDefault="00B63CED">
      <w:pPr>
        <w:pStyle w:val="Akapitzlist"/>
        <w:numPr>
          <w:ilvl w:val="0"/>
          <w:numId w:val="4"/>
        </w:numPr>
        <w:jc w:val="both"/>
      </w:pPr>
      <w:r>
        <w:t xml:space="preserve">Data </w:t>
      </w:r>
      <w:r>
        <w:t>udzielenia pozwolenia wodnoprawnego:</w:t>
      </w:r>
    </w:p>
    <w:p w:rsidR="007B3E23" w:rsidRDefault="00B63CED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7B3E23" w:rsidRDefault="00B63CED">
      <w:pPr>
        <w:pStyle w:val="Akapitzlist"/>
        <w:numPr>
          <w:ilvl w:val="0"/>
          <w:numId w:val="4"/>
        </w:numPr>
        <w:jc w:val="both"/>
      </w:pPr>
      <w:r>
        <w:t>Data obowiązywania pozwolenia wodnoprawnego:</w:t>
      </w:r>
    </w:p>
    <w:p w:rsidR="007B3E23" w:rsidRDefault="00B63CED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………………………………………………………………………………………………………………………………………..</w:t>
      </w:r>
    </w:p>
    <w:p w:rsidR="007B3E23" w:rsidRDefault="00B63CED">
      <w:pPr>
        <w:pStyle w:val="Akapitzlist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>
        <w:rPr>
          <w:sz w:val="18"/>
          <w:szCs w:val="18"/>
        </w:rPr>
        <w:t>Zgodnie z art. 269 ust. 1 pkt 1 ustawy Prawo wodne z dnia 20 lipca</w:t>
      </w:r>
      <w:r>
        <w:rPr>
          <w:sz w:val="18"/>
          <w:szCs w:val="18"/>
        </w:rPr>
        <w:t xml:space="preserve"> 2017 r. (</w:t>
      </w:r>
      <w:proofErr w:type="spellStart"/>
      <w:r>
        <w:rPr>
          <w:sz w:val="18"/>
          <w:szCs w:val="18"/>
        </w:rPr>
        <w:t>Dz.U</w:t>
      </w:r>
      <w:proofErr w:type="spellEnd"/>
      <w:r>
        <w:rPr>
          <w:sz w:val="18"/>
          <w:szCs w:val="18"/>
        </w:rPr>
        <w:t>. poz. 1566 ze zm.) opłatę za usługi wodne uiszcza się za zmniejszenie naturalnej retencji terenowej na skutek wykonywania na nieruchomości o powierzchni 3500 m</w:t>
      </w:r>
      <w:r>
        <w:rPr>
          <w:sz w:val="18"/>
          <w:szCs w:val="18"/>
          <w:vertAlign w:val="superscript"/>
        </w:rPr>
        <w:t xml:space="preserve">2 </w:t>
      </w:r>
      <w:r>
        <w:rPr>
          <w:sz w:val="18"/>
          <w:szCs w:val="18"/>
        </w:rPr>
        <w:t>robót lub obiektów budowlanych trwale związanych z gruntem, mających wpływ na zm</w:t>
      </w:r>
      <w:r>
        <w:rPr>
          <w:sz w:val="18"/>
          <w:szCs w:val="18"/>
        </w:rPr>
        <w:t>niejszenie tej retencji przez wyłączenie więcej niż 70 % powierzchni nieruchomości z powierzchni biologicznie czynnej na obszarach nieujętych w system kanalizacji otwartej lub zamkniętej.</w:t>
      </w:r>
    </w:p>
    <w:p w:rsidR="007B3E23" w:rsidRDefault="00B63CED">
      <w:pPr>
        <w:pStyle w:val="Akapitzlist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>
        <w:rPr>
          <w:sz w:val="18"/>
          <w:szCs w:val="18"/>
        </w:rPr>
        <w:t>Wypełnić, jeżeli zagospodarowanie nieruchomości nastąpiło na podstaw</w:t>
      </w:r>
      <w:r>
        <w:rPr>
          <w:sz w:val="18"/>
          <w:szCs w:val="18"/>
        </w:rPr>
        <w:t>ie pozwolenia wodnoprawnego wydanego po dniu 1 stycznia 2018 r.</w:t>
      </w:r>
    </w:p>
    <w:p w:rsidR="007B3E23" w:rsidRDefault="007B3E23">
      <w:pPr>
        <w:pStyle w:val="Akapitzlist"/>
        <w:ind w:left="284"/>
        <w:jc w:val="both"/>
        <w:rPr>
          <w:sz w:val="18"/>
          <w:szCs w:val="18"/>
        </w:rPr>
      </w:pPr>
    </w:p>
    <w:p w:rsidR="007B3E23" w:rsidRDefault="00B63CED">
      <w:pPr>
        <w:pStyle w:val="Akapitzlist"/>
        <w:numPr>
          <w:ilvl w:val="0"/>
          <w:numId w:val="1"/>
        </w:numPr>
        <w:jc w:val="both"/>
      </w:pPr>
      <w:r>
        <w:t>Określenie nieruchomości, której zagospodarowanie doprowadziło do zmniejszenia naturalnej retencji terenowej</w:t>
      </w:r>
    </w:p>
    <w:p w:rsidR="007B3E23" w:rsidRDefault="007B3E23">
      <w:pPr>
        <w:pStyle w:val="Akapitzlist"/>
        <w:ind w:left="1440"/>
        <w:jc w:val="both"/>
      </w:pPr>
    </w:p>
    <w:p w:rsidR="007B3E23" w:rsidRDefault="00B63CED">
      <w:pPr>
        <w:pStyle w:val="Akapitzlist"/>
        <w:numPr>
          <w:ilvl w:val="0"/>
          <w:numId w:val="3"/>
        </w:numPr>
        <w:jc w:val="both"/>
      </w:pPr>
      <w:r>
        <w:t>Położenie nieruchomości (miejscowość, ulica i numer porządkowy):</w:t>
      </w:r>
    </w:p>
    <w:p w:rsidR="007B3E23" w:rsidRDefault="00B63CED">
      <w:pPr>
        <w:pStyle w:val="Akapitzlist"/>
        <w:ind w:left="1080"/>
        <w:jc w:val="both"/>
      </w:pPr>
      <w:r>
        <w:t>…………………………………………</w:t>
      </w:r>
      <w:r>
        <w:t>………………………………………………………………………………………………</w:t>
      </w:r>
    </w:p>
    <w:p w:rsidR="007B3E23" w:rsidRDefault="00B63CED">
      <w:pPr>
        <w:pStyle w:val="Akapitzlist"/>
        <w:ind w:left="1080" w:hanging="371"/>
        <w:jc w:val="both"/>
      </w:pPr>
      <w:r>
        <w:t>2.   Oznaczenie  nieruchomości:</w:t>
      </w:r>
    </w:p>
    <w:p w:rsidR="007B3E23" w:rsidRDefault="00B63CED">
      <w:pPr>
        <w:pStyle w:val="Akapitzlist"/>
        <w:ind w:left="1080"/>
        <w:jc w:val="both"/>
      </w:pPr>
      <w:r>
        <w:t>1)</w:t>
      </w:r>
      <w:r>
        <w:tab/>
        <w:t xml:space="preserve">numer księgi wieczystej założonej dla nieruchomości: ……………………………………..………., </w:t>
      </w:r>
    </w:p>
    <w:p w:rsidR="007B3E23" w:rsidRDefault="00B63CED">
      <w:pPr>
        <w:pStyle w:val="Akapitzlist"/>
        <w:ind w:left="1080"/>
        <w:jc w:val="both"/>
      </w:pPr>
      <w:r>
        <w:lastRenderedPageBreak/>
        <w:t xml:space="preserve">2) dane z ewidencji gruntów i budynków dotyczące wszystkich działek ewidencyjnych objętych księgą wieczystą </w:t>
      </w:r>
      <w:r>
        <w:t xml:space="preserve">(numer działki  ewidencyjnej, obręb ewidencyjny) </w:t>
      </w:r>
    </w:p>
    <w:p w:rsidR="007B3E23" w:rsidRDefault="00B63CED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………………………………………………………………………………………………………………………………………..</w:t>
      </w:r>
    </w:p>
    <w:p w:rsidR="007B3E23" w:rsidRDefault="00B63CED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………………………………………………………………………………………………………………………………………..</w:t>
      </w:r>
    </w:p>
    <w:p w:rsidR="007B3E23" w:rsidRDefault="00B63CED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7B3E23" w:rsidRDefault="00B63CED">
      <w:pPr>
        <w:pStyle w:val="Akapitzlist"/>
        <w:numPr>
          <w:ilvl w:val="0"/>
          <w:numId w:val="1"/>
        </w:numPr>
        <w:jc w:val="both"/>
      </w:pPr>
      <w:r>
        <w:t>Dane dotyczące zmniejszenia naturalnej reten</w:t>
      </w:r>
      <w:r>
        <w:t>cji terenowej</w:t>
      </w:r>
    </w:p>
    <w:p w:rsidR="007B3E23" w:rsidRDefault="00B63CED">
      <w:pPr>
        <w:pStyle w:val="Akapitzlist"/>
        <w:numPr>
          <w:ilvl w:val="0"/>
          <w:numId w:val="5"/>
        </w:numPr>
        <w:jc w:val="both"/>
      </w:pPr>
      <w:r>
        <w:t>Łączna powierzchnia nieruchomości:</w:t>
      </w:r>
    </w:p>
    <w:p w:rsidR="007B3E23" w:rsidRDefault="00B63CED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…………………………………………………………………………………………………………………………………..m</w:t>
      </w:r>
      <w:r>
        <w:rPr>
          <w:vertAlign w:val="superscript"/>
        </w:rPr>
        <w:t>2</w:t>
      </w:r>
    </w:p>
    <w:p w:rsidR="007B3E23" w:rsidRDefault="00B63CED">
      <w:pPr>
        <w:pStyle w:val="Akapitzlist"/>
        <w:numPr>
          <w:ilvl w:val="0"/>
          <w:numId w:val="5"/>
        </w:numPr>
        <w:jc w:val="both"/>
      </w:pPr>
      <w:r>
        <w:t xml:space="preserve">Wielkość utraconej powierzchni biologicznie czynnej (powierzchnia uszczelniona trwale związana z gruntem): </w:t>
      </w:r>
    </w:p>
    <w:p w:rsidR="007B3E23" w:rsidRDefault="00B63CED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……………………………………………………………………………………………………………………………………m</w:t>
      </w:r>
      <w:r>
        <w:rPr>
          <w:vertAlign w:val="superscript"/>
        </w:rPr>
        <w:t>2</w:t>
      </w:r>
    </w:p>
    <w:p w:rsidR="007B3E23" w:rsidRDefault="00B63CED">
      <w:pPr>
        <w:pStyle w:val="Akapitzlist"/>
        <w:numPr>
          <w:ilvl w:val="0"/>
          <w:numId w:val="5"/>
        </w:numPr>
        <w:jc w:val="both"/>
      </w:pPr>
      <w:r>
        <w:t>Zakres retencjonowania wody z powierzchni uszczelnionych:</w:t>
      </w:r>
      <w:r>
        <w:rPr>
          <w:vertAlign w:val="superscript"/>
        </w:rPr>
        <w:t>3)</w:t>
      </w:r>
    </w:p>
    <w:p w:rsidR="007B3E23" w:rsidRDefault="00B63CED">
      <w:pPr>
        <w:pStyle w:val="Akapitzlist"/>
        <w:numPr>
          <w:ilvl w:val="0"/>
          <w:numId w:val="7"/>
        </w:numPr>
        <w:jc w:val="both"/>
      </w:pPr>
      <w:r>
        <w:t xml:space="preserve">bez urządzeń do retencjonowania wody z powierzchni uszczelnionych trwale związanych z gruntem,                                                 </w:t>
      </w:r>
      <w:r>
        <w:t xml:space="preserve">                                      </w:t>
      </w:r>
      <w:r>
        <w:rPr>
          <w:rFonts w:cstheme="minorHAnsi"/>
          <w:b/>
          <w:sz w:val="28"/>
          <w:szCs w:val="24"/>
        </w:rPr>
        <w:t>□</w:t>
      </w:r>
      <w:r>
        <w:t xml:space="preserve">        </w:t>
      </w:r>
    </w:p>
    <w:p w:rsidR="007B3E23" w:rsidRDefault="00B63CED">
      <w:pPr>
        <w:pStyle w:val="Akapitzlist"/>
        <w:numPr>
          <w:ilvl w:val="0"/>
          <w:numId w:val="7"/>
        </w:numPr>
        <w:jc w:val="both"/>
      </w:pPr>
      <w:r>
        <w:t xml:space="preserve">z urządzeniami do retencjonowania wody z powierzchni uszczelnionych o pojemności do 10% odpływu rocznego z powierzchni uszczelnionych trwale związanych z gruntem,                                              </w:t>
      </w:r>
      <w:r>
        <w:t xml:space="preserve">                                                                 </w:t>
      </w:r>
      <w:r>
        <w:rPr>
          <w:b/>
          <w:sz w:val="28"/>
        </w:rPr>
        <w:t>□</w:t>
      </w:r>
    </w:p>
    <w:p w:rsidR="007B3E23" w:rsidRDefault="00B63CED">
      <w:pPr>
        <w:pStyle w:val="Akapitzlist"/>
        <w:numPr>
          <w:ilvl w:val="0"/>
          <w:numId w:val="7"/>
        </w:numPr>
        <w:jc w:val="both"/>
      </w:pPr>
      <w:r>
        <w:t xml:space="preserve">z urządzeniami do retencjonowania wody z powierzchni uszczelnionych o pojemności od 10% do 30% odpływu rocznego z powierzchni uszczelnionych trwale związanych z gruntem,                    </w:t>
      </w:r>
      <w:r>
        <w:t xml:space="preserve">                                                                                            </w:t>
      </w:r>
      <w:r>
        <w:rPr>
          <w:b/>
          <w:sz w:val="28"/>
        </w:rPr>
        <w:t>□</w:t>
      </w:r>
    </w:p>
    <w:p w:rsidR="007B3E23" w:rsidRDefault="00B63CED">
      <w:pPr>
        <w:pStyle w:val="Akapitzlist"/>
        <w:numPr>
          <w:ilvl w:val="0"/>
          <w:numId w:val="7"/>
        </w:numPr>
        <w:jc w:val="both"/>
      </w:pPr>
      <w:r>
        <w:t>z urządzeniami do retencjonowania wody z powierzchni uszczelnionych o pojemności powyżej 30% odpływu rocznego z powierzchni uszczelnionych trwale związanych z gru</w:t>
      </w:r>
      <w:r>
        <w:t xml:space="preserve">ntem.                                                                                                                </w:t>
      </w:r>
      <w:r>
        <w:rPr>
          <w:b/>
          <w:sz w:val="28"/>
        </w:rPr>
        <w:t>□</w:t>
      </w:r>
    </w:p>
    <w:p w:rsidR="007B3E23" w:rsidRDefault="007B3E23">
      <w:pPr>
        <w:spacing w:after="0"/>
        <w:jc w:val="both"/>
      </w:pPr>
    </w:p>
    <w:p w:rsidR="007B3E23" w:rsidRDefault="00B63CED">
      <w:pPr>
        <w:spacing w:after="0"/>
        <w:jc w:val="both"/>
      </w:pPr>
      <w:r>
        <w:t xml:space="preserve"> …………………………..                                                                     ………………………………………………</w:t>
      </w:r>
    </w:p>
    <w:p w:rsidR="007B3E23" w:rsidRDefault="00B63CE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(data)                         </w:t>
      </w:r>
      <w:r>
        <w:rPr>
          <w:sz w:val="20"/>
          <w:szCs w:val="20"/>
        </w:rPr>
        <w:t xml:space="preserve">                                                                           (podpis podmiotu obowiązanego </w:t>
      </w:r>
    </w:p>
    <w:p w:rsidR="007B3E23" w:rsidRDefault="00B63CE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do ponoszenia opłaty za usługi wodne lub osoby    </w:t>
      </w:r>
    </w:p>
    <w:p w:rsidR="007B3E23" w:rsidRDefault="00B63CED">
      <w:pPr>
        <w:spacing w:after="0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upoważnionej do jego reprezentacji)                                   </w:t>
      </w:r>
    </w:p>
    <w:p w:rsidR="007B3E23" w:rsidRDefault="00B63CED">
      <w:pPr>
        <w:pStyle w:val="Akapitzlist"/>
        <w:numPr>
          <w:ilvl w:val="0"/>
          <w:numId w:val="6"/>
        </w:numPr>
        <w:ind w:left="284" w:hanging="284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Zaznaczyć właściwy punkt.</w:t>
      </w:r>
    </w:p>
    <w:p w:rsidR="007B3E23" w:rsidRDefault="007B3E23">
      <w:pPr>
        <w:pStyle w:val="Akapitzlist"/>
        <w:ind w:left="284" w:hanging="284"/>
        <w:jc w:val="both"/>
        <w:rPr>
          <w:sz w:val="20"/>
          <w:szCs w:val="20"/>
        </w:rPr>
      </w:pPr>
    </w:p>
    <w:p w:rsidR="007B3E23" w:rsidRDefault="007B3E23">
      <w:pPr>
        <w:pStyle w:val="Akapitzlist"/>
        <w:jc w:val="both"/>
        <w:rPr>
          <w:sz w:val="20"/>
          <w:szCs w:val="20"/>
        </w:rPr>
      </w:pPr>
    </w:p>
    <w:p w:rsidR="007B3E23" w:rsidRDefault="007B3E23">
      <w:pPr>
        <w:pStyle w:val="Akapitzlist"/>
        <w:jc w:val="both"/>
        <w:rPr>
          <w:sz w:val="20"/>
          <w:szCs w:val="20"/>
        </w:rPr>
      </w:pPr>
    </w:p>
    <w:p w:rsidR="007B3E23" w:rsidRDefault="00B63CED">
      <w:pPr>
        <w:pStyle w:val="Akapitzlist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VI. Klauzula informacyjna. </w:t>
      </w:r>
    </w:p>
    <w:p w:rsidR="007B3E23" w:rsidRDefault="00B63CED">
      <w:pPr>
        <w:pStyle w:val="Akapitzlist"/>
        <w:ind w:left="284" w:hanging="284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</w:p>
    <w:p w:rsidR="007B3E23" w:rsidRDefault="00B63CED">
      <w:pPr>
        <w:pStyle w:val="Akapitzlist"/>
        <w:ind w:left="284" w:hanging="284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Mając na względzi</w:t>
      </w:r>
      <w:r>
        <w:rPr>
          <w:i/>
          <w:iCs/>
          <w:sz w:val="16"/>
          <w:szCs w:val="16"/>
        </w:rPr>
        <w:t>e ROZPORZĄDZENIA PARLAMENTU EUROPEJSKIEGO I RADY (UE) 2016/679  z dnia 27 kwietnia 2016 r. w sprawie ochrony osób fizycznych w związku z przetwarzaniem danych osobowych i w sprawie swobodnego przepływu takich danych oraz uchylenia dyrektywy 95/46/WE (ogóln</w:t>
      </w:r>
      <w:r>
        <w:rPr>
          <w:i/>
          <w:iCs/>
          <w:sz w:val="16"/>
          <w:szCs w:val="16"/>
        </w:rPr>
        <w:t>e rozporządzenie o ochronie danych „RODO”), informujemy:</w:t>
      </w:r>
    </w:p>
    <w:p w:rsidR="007B3E23" w:rsidRDefault="00B63CED">
      <w:pPr>
        <w:pStyle w:val="Akapitzlist"/>
        <w:ind w:left="284" w:hanging="284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</w:p>
    <w:p w:rsidR="007B3E23" w:rsidRDefault="00B63CED">
      <w:pPr>
        <w:pStyle w:val="Akapitzlist"/>
        <w:ind w:left="284" w:hanging="284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Jako administrator będziemy przetwarzać Pani/Pana dane oso</w:t>
      </w:r>
      <w:r>
        <w:rPr>
          <w:i/>
          <w:iCs/>
          <w:sz w:val="16"/>
          <w:szCs w:val="16"/>
          <w:highlight w:val="white"/>
        </w:rPr>
        <w:t xml:space="preserve">bowe w celu obowiązku ustalenia opłaty za zmniejszenie naturalnej retencji terenowej – Prawo wodne z dnia 20 lipca 2017 r. (Dz. U. z 2017 </w:t>
      </w:r>
      <w:r>
        <w:rPr>
          <w:i/>
          <w:iCs/>
          <w:sz w:val="16"/>
          <w:szCs w:val="16"/>
          <w:highlight w:val="white"/>
        </w:rPr>
        <w:t xml:space="preserve">r. poz. 1566 z </w:t>
      </w:r>
      <w:proofErr w:type="spellStart"/>
      <w:r>
        <w:rPr>
          <w:i/>
          <w:iCs/>
          <w:sz w:val="16"/>
          <w:szCs w:val="16"/>
          <w:highlight w:val="white"/>
        </w:rPr>
        <w:t>późn</w:t>
      </w:r>
      <w:proofErr w:type="spellEnd"/>
      <w:r>
        <w:rPr>
          <w:i/>
          <w:iCs/>
          <w:sz w:val="16"/>
          <w:szCs w:val="16"/>
          <w:highlight w:val="white"/>
        </w:rPr>
        <w:t>.  zm.), (podstawa z art. 6 ust</w:t>
      </w:r>
      <w:r>
        <w:rPr>
          <w:i/>
          <w:iCs/>
          <w:sz w:val="16"/>
          <w:szCs w:val="16"/>
        </w:rPr>
        <w:t>. 1 lit. c RODO).</w:t>
      </w:r>
    </w:p>
    <w:p w:rsidR="007B3E23" w:rsidRDefault="00B63CED">
      <w:pPr>
        <w:pStyle w:val="Akapitzlist"/>
        <w:ind w:left="284" w:hanging="284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</w:p>
    <w:p w:rsidR="007B3E23" w:rsidRDefault="00B63CED">
      <w:pPr>
        <w:pStyle w:val="Akapitzlist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Przysługuje Pani/Panu prawo dostępu do swoich danych oraz otrzymywania ich kopii, prawo do sprostowania (poprawiania) swoich danych, prawo do usunięcia danych, prawo do ograniczenia prze</w:t>
      </w:r>
      <w:r>
        <w:rPr>
          <w:i/>
          <w:iCs/>
          <w:sz w:val="16"/>
          <w:szCs w:val="16"/>
        </w:rPr>
        <w:t>twarzania danych, prawo wniesienia skargi do organu nadzorczego, którym jest Prezes Urzędu Ochrony Danych Osobowych (na adres Urzędu Ochrony Danych Osobowych, Stawki 2, 00-193 Warszawa).</w:t>
      </w:r>
    </w:p>
    <w:p w:rsidR="007B3E23" w:rsidRDefault="00B63CED">
      <w:pPr>
        <w:pStyle w:val="Akapitzlist"/>
        <w:ind w:left="284" w:hanging="284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</w:p>
    <w:p w:rsidR="007B3E23" w:rsidRDefault="00B63CED">
      <w:pPr>
        <w:pStyle w:val="Akapitzlist"/>
        <w:ind w:left="284" w:hanging="284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Pełna treść klauzuli informacyjnej dostępna jest w Urzędzie Miasta </w:t>
      </w:r>
      <w:r>
        <w:rPr>
          <w:i/>
          <w:iCs/>
          <w:sz w:val="16"/>
          <w:szCs w:val="16"/>
        </w:rPr>
        <w:t xml:space="preserve">Hrubieszów oraz na stronie </w:t>
      </w:r>
      <w:hyperlink r:id="rId7" w:history="1">
        <w:r w:rsidRPr="004C14FC">
          <w:rPr>
            <w:rStyle w:val="Hipercze"/>
            <w:i/>
            <w:iCs/>
            <w:sz w:val="16"/>
            <w:szCs w:val="16"/>
          </w:rPr>
          <w:t>www.miasto.hrubieszow.pl</w:t>
        </w:r>
      </w:hyperlink>
      <w:r>
        <w:rPr>
          <w:i/>
          <w:iCs/>
          <w:sz w:val="16"/>
          <w:szCs w:val="16"/>
        </w:rPr>
        <w:t xml:space="preserve"> </w:t>
      </w:r>
    </w:p>
    <w:p w:rsidR="00B63CED" w:rsidRDefault="00B63CED">
      <w:pPr>
        <w:pStyle w:val="Akapitzlist"/>
        <w:ind w:left="284" w:hanging="284"/>
        <w:jc w:val="both"/>
      </w:pPr>
    </w:p>
    <w:p w:rsidR="00B63CED" w:rsidRDefault="00B63CED" w:rsidP="00B63CED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3CED" w:rsidRDefault="00B63CED" w:rsidP="00B63CED">
      <w:pPr>
        <w:jc w:val="both"/>
        <w:rPr>
          <w:rFonts w:ascii="Times New Roman" w:hAnsi="Times New Roman" w:cs="Times New Roman"/>
        </w:rPr>
      </w:pPr>
    </w:p>
    <w:p w:rsidR="00B63CED" w:rsidRDefault="00B63CED" w:rsidP="00B63CED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Opłata za zmniejszenie naturalnej retencji terenowej.</w:t>
      </w:r>
    </w:p>
    <w:p w:rsidR="00B63CED" w:rsidRDefault="00B63CED" w:rsidP="00B63CED">
      <w:pPr>
        <w:jc w:val="both"/>
      </w:pPr>
      <w:r>
        <w:rPr>
          <w:rFonts w:ascii="Times New Roman" w:hAnsi="Times New Roman" w:cs="Times New Roman"/>
        </w:rPr>
        <w:tab/>
        <w:t xml:space="preserve">Burmistrz Miasta Hrubieszowa informuje, iż w dniu  1 stycznia 2018 r. weszła w życie Ustawa z dnia 20 lipca 2017 r. prawo Wodne (Dz. U. z 2018 r. poz. 2268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 zm.), wprowadzająca istotne zmiany w dotychczasowym systemie gospodarowania wodami w Polsce. Jedną z głównych zmian jest wprowadzenie </w:t>
      </w:r>
      <w:bookmarkStart w:id="0" w:name="__DdeLink__388_583928322"/>
      <w:r>
        <w:rPr>
          <w:rFonts w:ascii="Times New Roman" w:hAnsi="Times New Roman" w:cs="Times New Roman"/>
        </w:rPr>
        <w:t>opłaty za zmniejszenie naturalnej retencji terenowej</w:t>
      </w:r>
      <w:bookmarkEnd w:id="0"/>
      <w:r>
        <w:rPr>
          <w:rFonts w:ascii="Times New Roman" w:hAnsi="Times New Roman" w:cs="Times New Roman"/>
        </w:rPr>
        <w:t>. Na mocy powyższej Ustawy Burmistrz, ma obowiązek poboru opłat za usługi wodne związane ze zmniejszeniem naturalnej  retencji.</w:t>
      </w:r>
    </w:p>
    <w:p w:rsidR="00B63CED" w:rsidRDefault="00B63CED" w:rsidP="00B63CED">
      <w:pPr>
        <w:pStyle w:val="NormalnyWeb"/>
        <w:jc w:val="both"/>
      </w:pPr>
      <w:r>
        <w:rPr>
          <w:sz w:val="22"/>
          <w:szCs w:val="22"/>
        </w:rPr>
        <w:t>Z art. 298 pkt 2 lit. a) – d) ustawy – Prawo wodne wynika, że opłatę za zmniejszenie naturalnej retencji są obowiązane ponosić osoby fizyczne, osoby prawne, jednostki organizacyjne, w tym spółki nieposiadające osobowości prawnej, będące:</w:t>
      </w:r>
    </w:p>
    <w:p w:rsidR="00B63CED" w:rsidRDefault="00B63CED" w:rsidP="00B63CED">
      <w:pPr>
        <w:pStyle w:val="NormalnyWeb"/>
        <w:numPr>
          <w:ilvl w:val="0"/>
          <w:numId w:val="10"/>
        </w:numPr>
        <w:jc w:val="both"/>
      </w:pPr>
      <w:r>
        <w:rPr>
          <w:sz w:val="22"/>
          <w:szCs w:val="22"/>
        </w:rPr>
        <w:t>właścicielami nieruchomości lub obiektów budowlanych,</w:t>
      </w:r>
    </w:p>
    <w:p w:rsidR="00B63CED" w:rsidRDefault="00B63CED" w:rsidP="00B63CED">
      <w:pPr>
        <w:pStyle w:val="NormalnyWeb"/>
        <w:numPr>
          <w:ilvl w:val="0"/>
          <w:numId w:val="10"/>
        </w:numPr>
        <w:jc w:val="both"/>
      </w:pPr>
      <w:r>
        <w:rPr>
          <w:sz w:val="22"/>
          <w:szCs w:val="22"/>
        </w:rPr>
        <w:t xml:space="preserve"> posiadaczami samoistnymi nieruchomości lub obiektów budowlanych, użytkownikami wieczystymi gruntów, </w:t>
      </w:r>
    </w:p>
    <w:p w:rsidR="00B63CED" w:rsidRDefault="00B63CED" w:rsidP="00B63CED">
      <w:pPr>
        <w:pStyle w:val="NormalnyWeb"/>
        <w:numPr>
          <w:ilvl w:val="0"/>
          <w:numId w:val="10"/>
        </w:numPr>
        <w:jc w:val="both"/>
      </w:pPr>
      <w:r>
        <w:rPr>
          <w:sz w:val="22"/>
          <w:szCs w:val="22"/>
        </w:rPr>
        <w:t>posiadaczami nieruchomości lub ich części albo obiektów budowlanych lub ich części, stanowiących własność Skarbu Państwa lub jednostki samorządu terytorialnego - które na skutek wykonywania robót i obiektów mających wpływ na zmniejszenie naturalnej retencji terenowej doprowadziły do zmniejszenia tej retencji.</w:t>
      </w:r>
    </w:p>
    <w:p w:rsidR="00B63CED" w:rsidRDefault="00B63CED" w:rsidP="00B63CED">
      <w:pPr>
        <w:pStyle w:val="NormalnyWeb"/>
        <w:jc w:val="both"/>
      </w:pPr>
      <w:r>
        <w:rPr>
          <w:sz w:val="22"/>
          <w:szCs w:val="22"/>
        </w:rPr>
        <w:t>Opłatę za zmniejszenie naturalnej retencji ponosi zarówno podmiot, który wykonywał roboty lub obiekty budowlane, które doprowadziły do zmniejszenia retencji, jak i podmiot, który co prawda nie doprowadził do zmniejszenia retencji wskutek wykonania robót lub obiektów budowlanych, jednakże sprawuje władztwo nad nieruchomością spełniającą przesłanki do objęcia opłatą, w sposób określony w art. 298 pkt 2 ustawy – Prawo wodne</w:t>
      </w:r>
      <w:r>
        <w:t>.</w:t>
      </w:r>
    </w:p>
    <w:p w:rsidR="00B63CED" w:rsidRDefault="00B63CED" w:rsidP="00B63CED">
      <w:pPr>
        <w:jc w:val="both"/>
      </w:pPr>
      <w:r>
        <w:rPr>
          <w:rFonts w:ascii="Times New Roman" w:hAnsi="Times New Roman" w:cs="Times New Roman"/>
        </w:rPr>
        <w:t>Art. 269 ustawy Prawo Wodne wprowadza obowiązek dokonywania opłat za zmniejszenie   naturalnej retencji i nakłada obowiązek uiszczenia opłaty za usługi wodne za zmniejszenie naturalnej retencji  terenowej na skutek wykonywania na nieruchomości o powierzchni  3500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robót lub obiektów budowlanych trwale związanych gruntem, mających wpływ na zmniejszenie tej retencji  przez wyłączenie więcej niż 70 %  powierzchni nieruchomości  z powierzchni biologicznie czynnej na obszarach nie ujętych  w systemy kanalizacji otwartej lub zamkniętej.</w:t>
      </w:r>
    </w:p>
    <w:p w:rsidR="00B63CED" w:rsidRDefault="00B63CED" w:rsidP="00B63C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art. 270 ust. 7 Prawo Wodne, wysokość opłaty za w/w usługę wodną zależy  odpowiednio od wielkości powierzchni uszczelnionej, rozumianej jako powierzchnia zabudowana wyłączona  z powierzchni biologicznie czynnej oraz zastosowaniu kompensacji   retencyjnej. Sposób opłacania opłaty za tę usługę wodną  reguluje art. 272 ust 8 w/w ustawy który mówi iż, wysokość opłaty ustala się jako iloczyn jednostkowej stawki opłaty, wyrażonej w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wielkości utraconej powierzchni  biologicznie czynnej oraz czasu wyrażonego w latach.</w:t>
      </w:r>
    </w:p>
    <w:p w:rsidR="00B63CED" w:rsidRDefault="00B63CED" w:rsidP="00B63C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Władający nieruchomością o powierzchni powyżej 3500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 która została zabudowana w co najmniej 70 % zobowiązani są do przedstawienia danych dotyczących wielkości utraconej  powierzchni biologicznie czynnej w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, zgodnie  z ustawą z dnia 20 lipca 2018 r. o zmianie ustawy Prawo Wodne  oraz niektórych innych ustaw (Dz. U. poz. 1722 ) oraz  znowelizowanym  art. 552 podmioty </w:t>
      </w:r>
      <w:r>
        <w:rPr>
          <w:rFonts w:ascii="Times New Roman" w:hAnsi="Times New Roman" w:cs="Times New Roman"/>
        </w:rPr>
        <w:lastRenderedPageBreak/>
        <w:t>obowiązane do ponoszenia opłat za usługi wodne składają oświadczenia  w terminie 30 dni od dnia, w którym upływa dzień przypadający na koniec każdego kwartału.</w:t>
      </w:r>
    </w:p>
    <w:p w:rsidR="00B63CED" w:rsidRDefault="00B63CED" w:rsidP="00B63CED">
      <w:pPr>
        <w:jc w:val="both"/>
      </w:pPr>
      <w:r>
        <w:rPr>
          <w:rFonts w:ascii="Times New Roman" w:hAnsi="Times New Roman" w:cs="Times New Roman"/>
          <w:b/>
        </w:rPr>
        <w:t>W związku z powyższym Burmistrz Miasta Hrubieszowa informuje właścicieli nieruchomości o powierzchni powyżej 3500 m</w:t>
      </w:r>
      <w:r>
        <w:rPr>
          <w:rFonts w:ascii="Times New Roman" w:hAnsi="Times New Roman" w:cs="Times New Roman"/>
          <w:b/>
          <w:vertAlign w:val="superscript"/>
        </w:rPr>
        <w:t>2</w:t>
      </w:r>
      <w:r>
        <w:rPr>
          <w:rFonts w:ascii="Times New Roman" w:hAnsi="Times New Roman" w:cs="Times New Roman"/>
          <w:b/>
        </w:rPr>
        <w:t>, która została zabudowana w co najmniej 70% o obowiązku składania oświadczeń  w terminie 30 dni od dnia, w którym upływa dzień przypadający  na koniec każdego kwartału. Za I kwartał 2019 r. termin składania oświadczeń upływa w dniu   30 kwietnia 2019 r.</w:t>
      </w:r>
    </w:p>
    <w:p w:rsidR="00B63CED" w:rsidRDefault="00B63CED" w:rsidP="00B63CED">
      <w:pPr>
        <w:jc w:val="both"/>
        <w:rPr>
          <w:rFonts w:cs="Times New Roman"/>
        </w:rPr>
      </w:pPr>
    </w:p>
    <w:p w:rsidR="00B63CED" w:rsidRDefault="00B63CED" w:rsidP="00B63CED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>Oświadczenie dostępnej jest w formie elektronicznej</w:t>
      </w:r>
      <w:r>
        <w:rPr>
          <w:rFonts w:ascii="Times New Roman" w:hAnsi="Times New Roman" w:cs="Times New Roman"/>
        </w:rPr>
        <w:t>:</w:t>
      </w:r>
    </w:p>
    <w:p w:rsidR="00B63CED" w:rsidRDefault="00B63CED" w:rsidP="00B63CED">
      <w:pPr>
        <w:jc w:val="both"/>
      </w:pPr>
      <w:r>
        <w:rPr>
          <w:rFonts w:ascii="Times New Roman" w:hAnsi="Times New Roman" w:cs="Times New Roman"/>
        </w:rPr>
        <w:t>1) na stronie Państwowego Gospodarstwa Wodnego Wody Polskie pod adresem</w:t>
      </w:r>
      <w:r>
        <w:rPr>
          <w:rFonts w:ascii="Times New Roman" w:hAnsi="Times New Roman" w:cs="Times New Roman"/>
          <w:i/>
        </w:rPr>
        <w:t xml:space="preserve">: </w:t>
      </w:r>
      <w:hyperlink r:id="rId8">
        <w:r>
          <w:rPr>
            <w:rStyle w:val="czeinternetowe"/>
            <w:rFonts w:ascii="Times New Roman" w:hAnsi="Times New Roman" w:cs="Times New Roman"/>
            <w:color w:val="000000"/>
          </w:rPr>
          <w:t>https://www.kzgw.gov.pl/index.php/pl/aktualnosci/611-skladanie-oswiadczen-przez-podmioty-obowiazane-do-ponoszenia-oplat-za-uslugi-wodne</w:t>
        </w:r>
      </w:hyperlink>
    </w:p>
    <w:p w:rsidR="00B63CED" w:rsidRDefault="00B63CED" w:rsidP="00B63CED">
      <w:pPr>
        <w:jc w:val="both"/>
      </w:pPr>
      <w:r>
        <w:rPr>
          <w:rFonts w:ascii="Times New Roman" w:hAnsi="Times New Roman" w:cs="Times New Roman"/>
        </w:rPr>
        <w:t>2) na str</w:t>
      </w:r>
      <w:r>
        <w:rPr>
          <w:rFonts w:ascii="Times New Roman" w:hAnsi="Times New Roman" w:cs="Times New Roman"/>
          <w:highlight w:val="white"/>
        </w:rPr>
        <w:t>onie internetowej Urzędu</w:t>
      </w:r>
      <w:bookmarkStart w:id="1" w:name="__DdeLink__4805_2414722219"/>
      <w:r>
        <w:rPr>
          <w:rFonts w:ascii="Times New Roman" w:hAnsi="Times New Roman" w:cs="Times New Roman"/>
          <w:highlight w:val="white"/>
        </w:rPr>
        <w:t xml:space="preserve"> Miasta Hrubieszów</w:t>
      </w:r>
      <w:bookmarkEnd w:id="1"/>
      <w:r>
        <w:rPr>
          <w:rFonts w:ascii="Times New Roman" w:hAnsi="Times New Roman" w:cs="Times New Roman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highlight w:val="white"/>
        </w:rPr>
        <w:t xml:space="preserve"> </w:t>
      </w:r>
      <w:hyperlink r:id="rId9">
        <w:r>
          <w:rPr>
            <w:rStyle w:val="czeinternetowe"/>
            <w:rFonts w:ascii="Times New Roman" w:hAnsi="Times New Roman" w:cs="Times New Roman"/>
            <w:color w:val="000000"/>
            <w:highlight w:val="white"/>
          </w:rPr>
          <w:t>http://www.miasto.hrubieszow.pl/</w:t>
        </w:r>
      </w:hyperlink>
    </w:p>
    <w:p w:rsidR="00B63CED" w:rsidRDefault="00B63CED" w:rsidP="00B63CED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  <w:highlight w:val="white"/>
        </w:rPr>
        <w:t>a także w formie papierowej:</w:t>
      </w:r>
    </w:p>
    <w:p w:rsidR="00B63CED" w:rsidRDefault="00B63CED" w:rsidP="00B63CED">
      <w:pPr>
        <w:numPr>
          <w:ilvl w:val="0"/>
          <w:numId w:val="11"/>
        </w:numPr>
        <w:jc w:val="both"/>
      </w:pPr>
      <w:r>
        <w:rPr>
          <w:rFonts w:ascii="Times New Roman" w:hAnsi="Times New Roman" w:cs="Times New Roman"/>
          <w:highlight w:val="white"/>
        </w:rPr>
        <w:t xml:space="preserve"> w sekretariacie Urzędu Miasta Hrubieszów ul. mjr. H. Dobrzańskiego "HUBALA" 1,                       22-500 Hrubieszów;</w:t>
      </w:r>
    </w:p>
    <w:p w:rsidR="00B63CED" w:rsidRDefault="00B63CED" w:rsidP="00B63CED">
      <w:pPr>
        <w:numPr>
          <w:ilvl w:val="0"/>
          <w:numId w:val="11"/>
        </w:numPr>
        <w:jc w:val="both"/>
      </w:pPr>
      <w:r>
        <w:rPr>
          <w:rFonts w:ascii="Times New Roman" w:hAnsi="Times New Roman" w:cs="Times New Roman"/>
          <w:color w:val="1C1C1C"/>
          <w:highlight w:val="white"/>
        </w:rPr>
        <w:t>w Wydziale Gospodarki Mieniem Komunalnym i Ochrony Środowiska ul. 3 Maja 15 pokój nr 12 22-500 Hrubieszów.</w:t>
      </w:r>
    </w:p>
    <w:p w:rsidR="00B63CED" w:rsidRDefault="00B63CED" w:rsidP="00B63CED">
      <w:pPr>
        <w:jc w:val="both"/>
      </w:pPr>
      <w:r>
        <w:rPr>
          <w:rFonts w:ascii="Times New Roman" w:hAnsi="Times New Roman" w:cs="Times New Roman"/>
        </w:rPr>
        <w:t xml:space="preserve">Gmina Miejska Hrubieszów realizując nałożony przez przepisy Ustawy Prawo Wodne obowiązek  - na podstawie złożonego oświadczenia przekaże w formie informacji  podmiotom zobowiązanym            do ponoszenia opłat za usługi wodne, wysokość przedmiotowej opłaty, w tym sposób obliczenia opłaty. Wniesienie opłaty powinno nastąpić w terminie 14 dni od dnia, doręczenia informacji. Opłatę należy wnosić kwartalnie w </w:t>
      </w:r>
      <w:r>
        <w:rPr>
          <w:rFonts w:ascii="Times New Roman" w:hAnsi="Times New Roman" w:cs="Times New Roman"/>
          <w:b/>
          <w:bCs/>
          <w:highlight w:val="white"/>
        </w:rPr>
        <w:t>Kasie Urzędu Miasta Hrubieszów lub na rachunek bankowy urzędu miasta 32 1240 2223 1111 0010 8723 0227 .</w:t>
      </w:r>
    </w:p>
    <w:p w:rsidR="00B63CED" w:rsidRDefault="00B63CED" w:rsidP="00B63C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Wpływy z opłat z tytułu zmniejszenia naturalnej retencji stanowić będą w </w:t>
      </w:r>
      <w:r>
        <w:rPr>
          <w:rFonts w:ascii="Times New Roman" w:hAnsi="Times New Roman" w:cs="Times New Roman"/>
          <w:b/>
          <w:bCs/>
        </w:rPr>
        <w:t>90%</w:t>
      </w:r>
      <w:r>
        <w:rPr>
          <w:rFonts w:ascii="Times New Roman" w:hAnsi="Times New Roman" w:cs="Times New Roman"/>
        </w:rPr>
        <w:t xml:space="preserve"> przychód Wód Polskich, a w </w:t>
      </w:r>
      <w:r>
        <w:rPr>
          <w:rFonts w:ascii="Times New Roman" w:hAnsi="Times New Roman" w:cs="Times New Roman"/>
          <w:b/>
          <w:bCs/>
        </w:rPr>
        <w:t>10%</w:t>
      </w:r>
      <w:r>
        <w:rPr>
          <w:rFonts w:ascii="Times New Roman" w:hAnsi="Times New Roman" w:cs="Times New Roman"/>
        </w:rPr>
        <w:t xml:space="preserve"> dochód budżetu gminy.</w:t>
      </w:r>
    </w:p>
    <w:p w:rsidR="00B63CED" w:rsidRDefault="00B63CED" w:rsidP="00B63C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Jednostkowe stawki opłat za usługi wodne  za zmniejszenie naturalnej retencji terenowej, zgodnie z Rozporządzeniem Rady Ministrów z dnia  22 grudnia 2017 r. w sprawie jednostkowych stawek opłat za usługi wodne wynoszą:</w:t>
      </w:r>
    </w:p>
    <w:p w:rsidR="00B63CED" w:rsidRDefault="00B63CED" w:rsidP="00B63CED">
      <w:pPr>
        <w:pStyle w:val="p1"/>
        <w:numPr>
          <w:ilvl w:val="0"/>
          <w:numId w:val="12"/>
        </w:numPr>
        <w:jc w:val="both"/>
      </w:pPr>
      <w:r>
        <w:t> bez urządzeń do retencjonowania wody z powierzchni uszczelnionych trwale związanych z gruntem – 0,50 zł za 1 m</w:t>
      </w:r>
      <w:r>
        <w:rPr>
          <w:vertAlign w:val="superscript"/>
        </w:rPr>
        <w:t>2</w:t>
      </w:r>
      <w:r>
        <w:t xml:space="preserve"> na 1 rok;</w:t>
      </w:r>
    </w:p>
    <w:p w:rsidR="00B63CED" w:rsidRDefault="00B63CED" w:rsidP="00B63CED">
      <w:pPr>
        <w:pStyle w:val="p1"/>
        <w:numPr>
          <w:ilvl w:val="0"/>
          <w:numId w:val="12"/>
        </w:numPr>
        <w:jc w:val="both"/>
      </w:pPr>
      <w:r>
        <w:t> z urządzeniami do retencjonowania wody z powierzchni uszczelnionych o pojemności:</w:t>
      </w:r>
    </w:p>
    <w:p w:rsidR="00B63CED" w:rsidRDefault="00B63CED" w:rsidP="00B63CED">
      <w:pPr>
        <w:pStyle w:val="p2"/>
        <w:numPr>
          <w:ilvl w:val="0"/>
          <w:numId w:val="13"/>
        </w:numPr>
        <w:jc w:val="both"/>
      </w:pPr>
      <w:r>
        <w:t> do 10% odpływu rocznego z powierzchni uszczelnionych trwale związanych               z gruntem – 0,30 zł za 1 m</w:t>
      </w:r>
      <w:r>
        <w:rPr>
          <w:vertAlign w:val="superscript"/>
        </w:rPr>
        <w:t>2</w:t>
      </w:r>
      <w:r>
        <w:t xml:space="preserve"> na 1 rok,</w:t>
      </w:r>
    </w:p>
    <w:p w:rsidR="00B63CED" w:rsidRDefault="00B63CED" w:rsidP="00B63CED">
      <w:pPr>
        <w:pStyle w:val="p2"/>
        <w:numPr>
          <w:ilvl w:val="0"/>
          <w:numId w:val="13"/>
        </w:numPr>
        <w:jc w:val="both"/>
      </w:pPr>
      <w:r>
        <w:t> od 10 do 30% odpływu rocznego z obszarów uszczelnionych trwale związanych                 z gruntem – 0,15 zł za 1 m</w:t>
      </w:r>
      <w:r>
        <w:rPr>
          <w:vertAlign w:val="superscript"/>
        </w:rPr>
        <w:t>2</w:t>
      </w:r>
      <w:r>
        <w:t xml:space="preserve"> na 1 rok,</w:t>
      </w:r>
    </w:p>
    <w:p w:rsidR="00B63CED" w:rsidRDefault="00B63CED" w:rsidP="00B63CED">
      <w:pPr>
        <w:pStyle w:val="p2"/>
        <w:numPr>
          <w:ilvl w:val="0"/>
          <w:numId w:val="13"/>
        </w:numPr>
        <w:jc w:val="both"/>
      </w:pPr>
      <w:r>
        <w:lastRenderedPageBreak/>
        <w:t> powyżej 30% odpływu rocznego z powierzchni uszczelnionych trwale związanych                      z gruntem – 0,05 zł za 1 m</w:t>
      </w:r>
      <w:r>
        <w:rPr>
          <w:vertAlign w:val="superscript"/>
        </w:rPr>
        <w:t>2</w:t>
      </w:r>
      <w:r>
        <w:t xml:space="preserve"> na 1 rok.</w:t>
      </w:r>
    </w:p>
    <w:p w:rsidR="00B63CED" w:rsidRDefault="00B63CED" w:rsidP="00B63CED">
      <w:pPr>
        <w:pStyle w:val="p2"/>
        <w:jc w:val="both"/>
        <w:rPr>
          <w:i/>
          <w:u w:val="single"/>
        </w:rPr>
      </w:pPr>
      <w:r>
        <w:rPr>
          <w:i/>
          <w:u w:val="single"/>
        </w:rPr>
        <w:t xml:space="preserve"> Przykład nieruchomości podlegającej opłacie:</w:t>
      </w:r>
    </w:p>
    <w:p w:rsidR="00B63CED" w:rsidRDefault="00B63CED" w:rsidP="00B63CED">
      <w:pPr>
        <w:pStyle w:val="p2"/>
        <w:jc w:val="both"/>
        <w:rPr>
          <w:i/>
        </w:rPr>
      </w:pPr>
      <w:r>
        <w:rPr>
          <w:i/>
        </w:rPr>
        <w:t>Nieruchomość  składająca się z dwóch działek o numerach  …………. i  ………….. objęta księgą wieczystą o numerze ………….. Powierzchnia dwóch działek, które składają się na nieruchomość wynosi 3850 m</w:t>
      </w:r>
      <w:r>
        <w:rPr>
          <w:i/>
          <w:vertAlign w:val="superscript"/>
        </w:rPr>
        <w:t>2</w:t>
      </w:r>
      <w:r>
        <w:rPr>
          <w:i/>
        </w:rPr>
        <w:t xml:space="preserve"> (38,5 ar) . Nieruchomość  przekracza 3500 m</w:t>
      </w:r>
      <w:r>
        <w:rPr>
          <w:i/>
          <w:vertAlign w:val="superscript"/>
        </w:rPr>
        <w:t>2</w:t>
      </w:r>
      <w:r>
        <w:rPr>
          <w:i/>
        </w:rPr>
        <w:t xml:space="preserve"> i spełnia pierwsze kryterium wymienione w ustawie odnośnie podleganiu opłacie retencyjnej.</w:t>
      </w:r>
    </w:p>
    <w:p w:rsidR="00B63CED" w:rsidRDefault="00B63CED" w:rsidP="00B63CED">
      <w:pPr>
        <w:pStyle w:val="p2"/>
        <w:jc w:val="both"/>
        <w:rPr>
          <w:i/>
        </w:rPr>
      </w:pPr>
      <w:r>
        <w:rPr>
          <w:i/>
        </w:rPr>
        <w:t>Na nieruchomości znajdują się:</w:t>
      </w:r>
    </w:p>
    <w:p w:rsidR="00B63CED" w:rsidRDefault="00B63CED" w:rsidP="00B63CED">
      <w:pPr>
        <w:pStyle w:val="p2"/>
        <w:numPr>
          <w:ilvl w:val="0"/>
          <w:numId w:val="9"/>
        </w:numPr>
        <w:jc w:val="both"/>
        <w:rPr>
          <w:i/>
        </w:rPr>
      </w:pPr>
      <w:r>
        <w:rPr>
          <w:i/>
        </w:rPr>
        <w:t>Budynek mieszkalny, budynki usługowo – handlowe, budynki gospodarcze o łącznej powierzchni 1580 m</w:t>
      </w:r>
      <w:r>
        <w:rPr>
          <w:i/>
          <w:vertAlign w:val="superscript"/>
        </w:rPr>
        <w:t>2</w:t>
      </w:r>
      <w:r>
        <w:rPr>
          <w:i/>
        </w:rPr>
        <w:t xml:space="preserve"> (15,8 ar)</w:t>
      </w:r>
    </w:p>
    <w:p w:rsidR="00B63CED" w:rsidRDefault="00B63CED" w:rsidP="00B63CED">
      <w:pPr>
        <w:pStyle w:val="p2"/>
        <w:numPr>
          <w:ilvl w:val="0"/>
          <w:numId w:val="9"/>
        </w:numPr>
        <w:jc w:val="both"/>
        <w:rPr>
          <w:i/>
        </w:rPr>
      </w:pPr>
      <w:r>
        <w:rPr>
          <w:i/>
        </w:rPr>
        <w:t>Podjaz dla klientów sklepu wyłożony kostką brukową -  1520 m</w:t>
      </w:r>
      <w:r>
        <w:rPr>
          <w:i/>
          <w:vertAlign w:val="superscript"/>
        </w:rPr>
        <w:t xml:space="preserve">2 </w:t>
      </w:r>
      <w:r>
        <w:rPr>
          <w:i/>
        </w:rPr>
        <w:t xml:space="preserve"> (15,2 ar)</w:t>
      </w:r>
    </w:p>
    <w:p w:rsidR="00B63CED" w:rsidRDefault="00B63CED" w:rsidP="00B63CED">
      <w:pPr>
        <w:pStyle w:val="p2"/>
        <w:numPr>
          <w:ilvl w:val="0"/>
          <w:numId w:val="9"/>
        </w:numPr>
        <w:jc w:val="both"/>
        <w:rPr>
          <w:i/>
        </w:rPr>
      </w:pPr>
      <w:r>
        <w:rPr>
          <w:i/>
        </w:rPr>
        <w:t>Droga dojazdowa (utwardzona płytami) 450 m</w:t>
      </w:r>
      <w:r>
        <w:rPr>
          <w:i/>
          <w:vertAlign w:val="superscript"/>
        </w:rPr>
        <w:t>2</w:t>
      </w:r>
      <w:r>
        <w:rPr>
          <w:i/>
        </w:rPr>
        <w:t xml:space="preserve"> (4,5 ar)</w:t>
      </w:r>
    </w:p>
    <w:p w:rsidR="00B63CED" w:rsidRDefault="00B63CED" w:rsidP="00B63CED">
      <w:pPr>
        <w:pStyle w:val="p2"/>
        <w:jc w:val="both"/>
        <w:rPr>
          <w:i/>
        </w:rPr>
      </w:pPr>
      <w:r>
        <w:rPr>
          <w:i/>
        </w:rPr>
        <w:t>Łączna suma powierzchni uszczelnionej, powierzchni która ma wpływ na zmniejszenie retencji terenowej wynosi 3550 m</w:t>
      </w:r>
      <w:r>
        <w:rPr>
          <w:i/>
          <w:vertAlign w:val="superscript"/>
        </w:rPr>
        <w:t xml:space="preserve">2 </w:t>
      </w:r>
      <w:r>
        <w:rPr>
          <w:i/>
        </w:rPr>
        <w:t xml:space="preserve"> (35,5 ar).</w:t>
      </w:r>
    </w:p>
    <w:p w:rsidR="00B63CED" w:rsidRDefault="00B63CED" w:rsidP="00B63CED">
      <w:pPr>
        <w:pStyle w:val="p2"/>
        <w:jc w:val="both"/>
        <w:rPr>
          <w:i/>
        </w:rPr>
      </w:pPr>
      <w:r>
        <w:rPr>
          <w:i/>
        </w:rPr>
        <w:t>Stosunek powierzchni uszczelnionej do całkowitej powierzchni nieruchomości wynosi :   3550 m</w:t>
      </w:r>
      <w:r>
        <w:rPr>
          <w:i/>
          <w:vertAlign w:val="superscript"/>
        </w:rPr>
        <w:t xml:space="preserve">2 </w:t>
      </w:r>
      <w:r>
        <w:rPr>
          <w:i/>
        </w:rPr>
        <w:t>/ 3850 m</w:t>
      </w:r>
      <w:r>
        <w:rPr>
          <w:i/>
          <w:vertAlign w:val="superscript"/>
        </w:rPr>
        <w:t>2</w:t>
      </w:r>
      <w:r>
        <w:rPr>
          <w:i/>
        </w:rPr>
        <w:t xml:space="preserve">  - 0,92 % czyli 92 % powierzchni nieruchomości jest wyłączone z powierzchni biologicznie czynnej, tym samym nieruchomość spełnia drugie określone w ustawie kryterium odnośnie podleganiu opłacie retencyjnej.</w:t>
      </w:r>
    </w:p>
    <w:p w:rsidR="00B63CED" w:rsidRDefault="00B63CED" w:rsidP="00B63CED">
      <w:pPr>
        <w:pStyle w:val="p2"/>
        <w:jc w:val="both"/>
        <w:rPr>
          <w:i/>
        </w:rPr>
      </w:pPr>
      <w:r>
        <w:rPr>
          <w:i/>
        </w:rPr>
        <w:t>Nieruchomość nie posiada przyłącza do systemu kanalizacji deszczowej, ani innego odprowadzenia wód opadowych – spełnia trzecie kryterium odnośnie podleganiu opłacie retencyjnej.</w:t>
      </w:r>
    </w:p>
    <w:p w:rsidR="00B63CED" w:rsidRDefault="00B63CED" w:rsidP="00B63CED">
      <w:pPr>
        <w:pStyle w:val="p2"/>
        <w:jc w:val="both"/>
        <w:rPr>
          <w:i/>
        </w:rPr>
      </w:pPr>
      <w:r>
        <w:rPr>
          <w:i/>
        </w:rPr>
        <w:t>Należy stwierdzić iż w/w nieruchomość podlega zgodnie z ustawą obowiązkowi naliczenia opłaty za usługi wodne – opłaty ,,retencyjnej”.</w:t>
      </w:r>
    </w:p>
    <w:p w:rsidR="00B63CED" w:rsidRDefault="00B63CED" w:rsidP="00B63CED">
      <w:pPr>
        <w:pStyle w:val="p2"/>
        <w:jc w:val="both"/>
      </w:pPr>
      <w:r>
        <w:rPr>
          <w:b/>
        </w:rPr>
        <w:t xml:space="preserve">Szczegółowe informacje na temat opłaty retencyjnej można znaleźć na stronie Państwowego Gospodarstwa Wodnego Wody Polskie pod adresem: </w:t>
      </w:r>
    </w:p>
    <w:p w:rsidR="00B63CED" w:rsidRDefault="00B63CED" w:rsidP="00B63CED">
      <w:pPr>
        <w:pStyle w:val="p2"/>
        <w:jc w:val="both"/>
        <w:rPr>
          <w:i/>
          <w:u w:val="single"/>
        </w:rPr>
      </w:pPr>
      <w:bookmarkStart w:id="2" w:name="__DdeLink__696_3771960260"/>
      <w:bookmarkEnd w:id="2"/>
      <w:r>
        <w:rPr>
          <w:u w:val="single"/>
        </w:rPr>
        <w:t>httpl://www.kzgw.gov.pl/index.php/en/materialy-informacyjne/informacja-dla-gmin-ws-oplat-za-zmniejszeni-naturalnej-retencji-terenowej</w:t>
      </w:r>
    </w:p>
    <w:p w:rsidR="00B63CED" w:rsidRDefault="00B63CED" w:rsidP="00B63CED">
      <w:pPr>
        <w:jc w:val="both"/>
      </w:pPr>
    </w:p>
    <w:p w:rsidR="00B63CED" w:rsidRDefault="00B63CED">
      <w:pPr>
        <w:pStyle w:val="Akapitzlist"/>
        <w:ind w:left="284" w:hanging="284"/>
        <w:jc w:val="both"/>
      </w:pPr>
      <w:bookmarkStart w:id="3" w:name="_GoBack"/>
      <w:bookmarkEnd w:id="3"/>
    </w:p>
    <w:sectPr w:rsidR="00B63CED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5FAB"/>
    <w:multiLevelType w:val="multilevel"/>
    <w:tmpl w:val="EB34E6B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446361"/>
    <w:multiLevelType w:val="multilevel"/>
    <w:tmpl w:val="BB08998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936278"/>
    <w:multiLevelType w:val="multilevel"/>
    <w:tmpl w:val="A90EEC6E"/>
    <w:lvl w:ilvl="0">
      <w:start w:val="1"/>
      <w:numFmt w:val="upperRoman"/>
      <w:lvlText w:val="%1."/>
      <w:lvlJc w:val="left"/>
      <w:pPr>
        <w:ind w:left="720" w:hanging="360"/>
      </w:pPr>
      <w:rPr>
        <w:rFonts w:eastAsia="Calibri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D4D7A"/>
    <w:multiLevelType w:val="multilevel"/>
    <w:tmpl w:val="17A6994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 w:hint="default"/>
      </w:rPr>
    </w:lvl>
  </w:abstractNum>
  <w:abstractNum w:abstractNumId="4">
    <w:nsid w:val="2B6C7F46"/>
    <w:multiLevelType w:val="multilevel"/>
    <w:tmpl w:val="04A68E1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457C59"/>
    <w:multiLevelType w:val="multilevel"/>
    <w:tmpl w:val="8D4AE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5D46149F"/>
    <w:multiLevelType w:val="multilevel"/>
    <w:tmpl w:val="A6ACA44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38276A"/>
    <w:multiLevelType w:val="multilevel"/>
    <w:tmpl w:val="B232A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62326F83"/>
    <w:multiLevelType w:val="multilevel"/>
    <w:tmpl w:val="A3848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63D53961"/>
    <w:multiLevelType w:val="multilevel"/>
    <w:tmpl w:val="1E7011C6"/>
    <w:lvl w:ilvl="0">
      <w:start w:val="1"/>
      <w:numFmt w:val="decimal"/>
      <w:lvlText w:val="%1)"/>
      <w:lvlJc w:val="left"/>
      <w:pPr>
        <w:ind w:left="928" w:hanging="360"/>
      </w:pPr>
      <w:rPr>
        <w:sz w:val="16"/>
        <w:vertAlign w:val="superscript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6324F83"/>
    <w:multiLevelType w:val="multilevel"/>
    <w:tmpl w:val="19622F7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7C26F0"/>
    <w:multiLevelType w:val="multilevel"/>
    <w:tmpl w:val="F0B634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7F512B72"/>
    <w:multiLevelType w:val="multilevel"/>
    <w:tmpl w:val="C082AD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0"/>
  </w:num>
  <w:num w:numId="5">
    <w:abstractNumId w:val="6"/>
  </w:num>
  <w:num w:numId="6">
    <w:abstractNumId w:val="9"/>
  </w:num>
  <w:num w:numId="7">
    <w:abstractNumId w:val="1"/>
  </w:num>
  <w:num w:numId="8">
    <w:abstractNumId w:val="11"/>
  </w:num>
  <w:num w:numId="9">
    <w:abstractNumId w:val="12"/>
  </w:num>
  <w:num w:numId="10">
    <w:abstractNumId w:val="8"/>
  </w:num>
  <w:num w:numId="11">
    <w:abstractNumId w:val="3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E23"/>
    <w:rsid w:val="007B3E23"/>
    <w:rsid w:val="00B6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A3042"/>
  </w:style>
  <w:style w:type="character" w:customStyle="1" w:styleId="StopkaZnak">
    <w:name w:val="Stopka Znak"/>
    <w:basedOn w:val="Domylnaczcionkaakapitu"/>
    <w:link w:val="Stopka"/>
    <w:uiPriority w:val="99"/>
    <w:qFormat/>
    <w:rsid w:val="00FA304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A304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sz w:val="20"/>
      <w:vertAlign w:val="superscript"/>
    </w:rPr>
  </w:style>
  <w:style w:type="character" w:customStyle="1" w:styleId="ListLabel3">
    <w:name w:val="ListLabel 3"/>
    <w:qFormat/>
    <w:rPr>
      <w:rFonts w:eastAsia="Calibri"/>
    </w:rPr>
  </w:style>
  <w:style w:type="character" w:customStyle="1" w:styleId="ListLabel4">
    <w:name w:val="ListLabel 4"/>
    <w:qFormat/>
    <w:rPr>
      <w:sz w:val="20"/>
      <w:vertAlign w:val="superscript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sz w:val="20"/>
      <w:vertAlign w:val="superscript"/>
    </w:rPr>
  </w:style>
  <w:style w:type="character" w:customStyle="1" w:styleId="ListLabel7">
    <w:name w:val="ListLabel 7"/>
    <w:qFormat/>
    <w:rPr>
      <w:rFonts w:eastAsia="Calibri"/>
    </w:rPr>
  </w:style>
  <w:style w:type="character" w:customStyle="1" w:styleId="ListLabel8">
    <w:name w:val="ListLabel 8"/>
    <w:qFormat/>
    <w:rPr>
      <w:sz w:val="20"/>
      <w:vertAlign w:val="superscript"/>
    </w:rPr>
  </w:style>
  <w:style w:type="character" w:customStyle="1" w:styleId="ListLabel9">
    <w:name w:val="ListLabel 9"/>
    <w:qFormat/>
    <w:rPr>
      <w:rFonts w:eastAsia="Calibri"/>
      <w:sz w:val="22"/>
    </w:rPr>
  </w:style>
  <w:style w:type="character" w:customStyle="1" w:styleId="ListLabel10">
    <w:name w:val="ListLabel 10"/>
    <w:qFormat/>
    <w:rPr>
      <w:sz w:val="16"/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E5A4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A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63CED"/>
    <w:rPr>
      <w:color w:val="0000FF" w:themeColor="hyperlink"/>
      <w:u w:val="single"/>
    </w:rPr>
  </w:style>
  <w:style w:type="character" w:customStyle="1" w:styleId="czeinternetowe">
    <w:name w:val="Łącze internetowe"/>
    <w:basedOn w:val="Domylnaczcionkaakapitu"/>
    <w:uiPriority w:val="99"/>
    <w:unhideWhenUsed/>
    <w:rsid w:val="00B63CED"/>
    <w:rPr>
      <w:color w:val="0000FF" w:themeColor="hyperlink"/>
      <w:u w:val="single"/>
    </w:rPr>
  </w:style>
  <w:style w:type="paragraph" w:customStyle="1" w:styleId="p1">
    <w:name w:val="p1"/>
    <w:basedOn w:val="Normalny"/>
    <w:qFormat/>
    <w:rsid w:val="00B63CE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qFormat/>
    <w:rsid w:val="00B63CE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B63CE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A3042"/>
  </w:style>
  <w:style w:type="character" w:customStyle="1" w:styleId="StopkaZnak">
    <w:name w:val="Stopka Znak"/>
    <w:basedOn w:val="Domylnaczcionkaakapitu"/>
    <w:link w:val="Stopka"/>
    <w:uiPriority w:val="99"/>
    <w:qFormat/>
    <w:rsid w:val="00FA304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A304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sz w:val="20"/>
      <w:vertAlign w:val="superscript"/>
    </w:rPr>
  </w:style>
  <w:style w:type="character" w:customStyle="1" w:styleId="ListLabel3">
    <w:name w:val="ListLabel 3"/>
    <w:qFormat/>
    <w:rPr>
      <w:rFonts w:eastAsia="Calibri"/>
    </w:rPr>
  </w:style>
  <w:style w:type="character" w:customStyle="1" w:styleId="ListLabel4">
    <w:name w:val="ListLabel 4"/>
    <w:qFormat/>
    <w:rPr>
      <w:sz w:val="20"/>
      <w:vertAlign w:val="superscript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sz w:val="20"/>
      <w:vertAlign w:val="superscript"/>
    </w:rPr>
  </w:style>
  <w:style w:type="character" w:customStyle="1" w:styleId="ListLabel7">
    <w:name w:val="ListLabel 7"/>
    <w:qFormat/>
    <w:rPr>
      <w:rFonts w:eastAsia="Calibri"/>
    </w:rPr>
  </w:style>
  <w:style w:type="character" w:customStyle="1" w:styleId="ListLabel8">
    <w:name w:val="ListLabel 8"/>
    <w:qFormat/>
    <w:rPr>
      <w:sz w:val="20"/>
      <w:vertAlign w:val="superscript"/>
    </w:rPr>
  </w:style>
  <w:style w:type="character" w:customStyle="1" w:styleId="ListLabel9">
    <w:name w:val="ListLabel 9"/>
    <w:qFormat/>
    <w:rPr>
      <w:rFonts w:eastAsia="Calibri"/>
      <w:sz w:val="22"/>
    </w:rPr>
  </w:style>
  <w:style w:type="character" w:customStyle="1" w:styleId="ListLabel10">
    <w:name w:val="ListLabel 10"/>
    <w:qFormat/>
    <w:rPr>
      <w:sz w:val="16"/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E5A4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A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63CED"/>
    <w:rPr>
      <w:color w:val="0000FF" w:themeColor="hyperlink"/>
      <w:u w:val="single"/>
    </w:rPr>
  </w:style>
  <w:style w:type="character" w:customStyle="1" w:styleId="czeinternetowe">
    <w:name w:val="Łącze internetowe"/>
    <w:basedOn w:val="Domylnaczcionkaakapitu"/>
    <w:uiPriority w:val="99"/>
    <w:unhideWhenUsed/>
    <w:rsid w:val="00B63CED"/>
    <w:rPr>
      <w:color w:val="0000FF" w:themeColor="hyperlink"/>
      <w:u w:val="single"/>
    </w:rPr>
  </w:style>
  <w:style w:type="paragraph" w:customStyle="1" w:styleId="p1">
    <w:name w:val="p1"/>
    <w:basedOn w:val="Normalny"/>
    <w:qFormat/>
    <w:rsid w:val="00B63CE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qFormat/>
    <w:rsid w:val="00B63CE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B63CE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zgw.gov.pl/index.php/pl/aktualnosci/611-skladanie-oswiadczen-przez-podmioty-obowiazane-do-ponoszenia-oplat-za-uslugi-wodn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asto.hrubiesz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iasto.hrubiesz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0698D-6AC3-460E-A18B-A60CE329D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13174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Wojtczak</dc:creator>
  <cp:lastModifiedBy>Informatyk</cp:lastModifiedBy>
  <cp:revision>2</cp:revision>
  <cp:lastPrinted>2019-04-12T11:16:00Z</cp:lastPrinted>
  <dcterms:created xsi:type="dcterms:W3CDTF">2019-04-12T11:04:00Z</dcterms:created>
  <dcterms:modified xsi:type="dcterms:W3CDTF">2019-04-12T11:04:00Z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KZGW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